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41" w:rsidRDefault="00284E6E" w:rsidP="00284E6E">
      <w:pPr>
        <w:spacing w:before="450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</w:rPr>
      </w:pPr>
      <w:bookmarkStart w:id="0" w:name="to_paragraph_id28853164"/>
      <w:bookmarkEnd w:id="0"/>
      <w:r w:rsidRPr="00284E6E">
        <w:rPr>
          <w:rFonts w:ascii="Verdana" w:eastAsia="Times New Roman" w:hAnsi="Verdana"/>
          <w:b/>
          <w:bCs/>
          <w:color w:val="000000"/>
          <w:sz w:val="27"/>
          <w:szCs w:val="27"/>
        </w:rPr>
        <w:t>Н</w:t>
      </w:r>
      <w:r w:rsidR="00B21441">
        <w:rPr>
          <w:rFonts w:ascii="Verdana" w:eastAsia="Times New Roman" w:hAnsi="Verdana"/>
          <w:b/>
          <w:bCs/>
          <w:color w:val="000000"/>
          <w:sz w:val="27"/>
          <w:szCs w:val="27"/>
        </w:rPr>
        <w:t>аредба</w:t>
      </w:r>
    </w:p>
    <w:p w:rsidR="00284E6E" w:rsidRPr="00284E6E" w:rsidRDefault="00284E6E" w:rsidP="00EF5123">
      <w:pPr>
        <w:spacing w:before="120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</w:rPr>
      </w:pPr>
      <w:r w:rsidRPr="00284E6E">
        <w:rPr>
          <w:rFonts w:ascii="Verdana" w:eastAsia="Times New Roman" w:hAnsi="Verdana"/>
          <w:b/>
          <w:bCs/>
          <w:color w:val="000000"/>
          <w:sz w:val="27"/>
          <w:szCs w:val="27"/>
        </w:rPr>
        <w:t>за държавните изисквания за прид</w:t>
      </w:r>
      <w:bookmarkStart w:id="1" w:name="_GoBack"/>
      <w:bookmarkEnd w:id="1"/>
      <w:r w:rsidRPr="00284E6E">
        <w:rPr>
          <w:rFonts w:ascii="Verdana" w:eastAsia="Times New Roman" w:hAnsi="Verdana"/>
          <w:b/>
          <w:bCs/>
          <w:color w:val="000000"/>
          <w:sz w:val="27"/>
          <w:szCs w:val="27"/>
        </w:rPr>
        <w:t>обиване на висше образование на образователно-квалификационна степен "магистър" по специалността "Ветеринарна медицина"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284E6E" w:rsidRPr="00284E6E" w:rsidTr="00284E6E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</w:tr>
    </w:tbl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bookmarkStart w:id="2" w:name="to_paragraph_id28880765"/>
      <w:bookmarkEnd w:id="2"/>
      <w:r w:rsidRPr="00284E6E">
        <w:rPr>
          <w:rFonts w:ascii="Verdana" w:eastAsia="Times New Roman" w:hAnsi="Verdana"/>
          <w:color w:val="000000"/>
        </w:rPr>
        <w:t xml:space="preserve">Приета с </w:t>
      </w:r>
      <w:hyperlink r:id="rId4" w:history="1">
        <w:r w:rsidRPr="00284E6E">
          <w:rPr>
            <w:rFonts w:ascii="Verdana" w:eastAsia="Times New Roman" w:hAnsi="Verdana"/>
            <w:color w:val="000000"/>
          </w:rPr>
          <w:t>ПМС № 17</w:t>
        </w:r>
      </w:hyperlink>
      <w:r w:rsidRPr="00284E6E">
        <w:rPr>
          <w:rFonts w:ascii="Verdana" w:eastAsia="Times New Roman" w:hAnsi="Verdana"/>
          <w:color w:val="000000"/>
        </w:rPr>
        <w:t xml:space="preserve"> от 28.01.2016 г., </w:t>
      </w:r>
      <w:proofErr w:type="spellStart"/>
      <w:r w:rsidRPr="00284E6E">
        <w:rPr>
          <w:rFonts w:ascii="Verdana" w:eastAsia="Times New Roman" w:hAnsi="Verdana"/>
          <w:color w:val="000000"/>
        </w:rPr>
        <w:t>обн</w:t>
      </w:r>
      <w:proofErr w:type="spellEnd"/>
      <w:r w:rsidRPr="00284E6E">
        <w:rPr>
          <w:rFonts w:ascii="Verdana" w:eastAsia="Times New Roman" w:hAnsi="Verdana"/>
          <w:color w:val="000000"/>
        </w:rPr>
        <w:t>., ДВ, бр. 9 от 2.02.2016 г., в сила от учебната 2016 – 2017 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284E6E" w:rsidRPr="00284E6E" w:rsidTr="00284E6E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</w:tr>
    </w:tbl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bookmarkStart w:id="3" w:name="to_paragraph_id28853166"/>
      <w:bookmarkEnd w:id="3"/>
      <w:r w:rsidRPr="00284E6E">
        <w:rPr>
          <w:rFonts w:ascii="Verdana" w:eastAsia="Times New Roman" w:hAnsi="Verdana"/>
          <w:b/>
          <w:bCs/>
          <w:color w:val="000000"/>
        </w:rPr>
        <w:t>Чл. 1</w:t>
      </w:r>
      <w:r w:rsidRPr="00284E6E">
        <w:rPr>
          <w:rFonts w:ascii="Verdana" w:eastAsia="Times New Roman" w:hAnsi="Verdana"/>
          <w:color w:val="000000"/>
        </w:rPr>
        <w:t xml:space="preserve">. (1) Висше образование по специалността "Ветеринарна медицина" от професионално направление "Ветеринарна медицина" на образователно-квалификационната степен "магистър" с професионална квалификация "ветеринарен лекар" се придобива във висши училища, които отговарят на изискванията на </w:t>
      </w:r>
      <w:hyperlink r:id="rId5" w:history="1">
        <w:r w:rsidRPr="00284E6E">
          <w:rPr>
            <w:rFonts w:ascii="Verdana" w:eastAsia="Times New Roman" w:hAnsi="Verdana"/>
            <w:color w:val="000000"/>
          </w:rPr>
          <w:t>Закона за висшето образование</w:t>
        </w:r>
      </w:hyperlink>
      <w:r w:rsidRPr="00284E6E">
        <w:rPr>
          <w:rFonts w:ascii="Verdana" w:eastAsia="Times New Roman" w:hAnsi="Verdana"/>
          <w:color w:val="000000"/>
        </w:rPr>
        <w:t xml:space="preserve"> и на наредбата.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(2) Формата на обучение е редовна.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284E6E" w:rsidRPr="00284E6E" w:rsidTr="00284E6E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</w:tr>
    </w:tbl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bookmarkStart w:id="4" w:name="to_paragraph_id28853167"/>
      <w:bookmarkEnd w:id="4"/>
      <w:r w:rsidRPr="00284E6E">
        <w:rPr>
          <w:rFonts w:ascii="Verdana" w:eastAsia="Times New Roman" w:hAnsi="Verdana"/>
          <w:b/>
          <w:bCs/>
          <w:color w:val="000000"/>
        </w:rPr>
        <w:t>Чл. 2</w:t>
      </w:r>
      <w:r w:rsidRPr="00284E6E">
        <w:rPr>
          <w:rFonts w:ascii="Verdana" w:eastAsia="Times New Roman" w:hAnsi="Verdana"/>
          <w:color w:val="000000"/>
        </w:rPr>
        <w:t>. (1) Обучението по специалността "Ветеринарна медицина" е с продължителност 11 семестъра, съответстващи на 5 и половина учебни години, с общ минимален хорариум 4340 часа, съответстващо на ниво 7 от Националната квалификационна рамка.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 xml:space="preserve">(2) Съгласно </w:t>
      </w:r>
      <w:hyperlink r:id="rId6" w:history="1">
        <w:r w:rsidRPr="00284E6E">
          <w:rPr>
            <w:rFonts w:ascii="Verdana" w:eastAsia="Times New Roman" w:hAnsi="Verdana"/>
            <w:color w:val="000000"/>
          </w:rPr>
          <w:t>Наредба № 21 от 2004 г. за прилагане на Система за натрупване и трансфер на кредити във висшите училища</w:t>
        </w:r>
      </w:hyperlink>
      <w:r w:rsidRPr="00284E6E">
        <w:rPr>
          <w:rFonts w:ascii="Verdana" w:eastAsia="Times New Roman" w:hAnsi="Verdana"/>
          <w:color w:val="000000"/>
        </w:rPr>
        <w:t xml:space="preserve"> се присъждат общо 360 кредита по Европейската система за трансфер на кредити (ECTS), от които 300 за аудиторна и </w:t>
      </w:r>
      <w:proofErr w:type="spellStart"/>
      <w:r w:rsidRPr="00284E6E">
        <w:rPr>
          <w:rFonts w:ascii="Verdana" w:eastAsia="Times New Roman" w:hAnsi="Verdana"/>
          <w:color w:val="000000"/>
        </w:rPr>
        <w:t>извънаудиторна</w:t>
      </w:r>
      <w:proofErr w:type="spellEnd"/>
      <w:r w:rsidRPr="00284E6E">
        <w:rPr>
          <w:rFonts w:ascii="Verdana" w:eastAsia="Times New Roman" w:hAnsi="Verdana"/>
          <w:color w:val="000000"/>
        </w:rPr>
        <w:t xml:space="preserve"> заетост за изучаваните дисциплини и 60 за </w:t>
      </w:r>
      <w:proofErr w:type="spellStart"/>
      <w:r w:rsidRPr="00284E6E">
        <w:rPr>
          <w:rFonts w:ascii="Verdana" w:eastAsia="Times New Roman" w:hAnsi="Verdana"/>
          <w:color w:val="000000"/>
        </w:rPr>
        <w:t>преддипломен</w:t>
      </w:r>
      <w:proofErr w:type="spellEnd"/>
      <w:r w:rsidRPr="00284E6E">
        <w:rPr>
          <w:rFonts w:ascii="Verdana" w:eastAsia="Times New Roman" w:hAnsi="Verdana"/>
          <w:color w:val="000000"/>
        </w:rPr>
        <w:t xml:space="preserve"> стаж и за дипломиране.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284E6E" w:rsidRPr="00284E6E" w:rsidTr="00284E6E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</w:tr>
    </w:tbl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bookmarkStart w:id="5" w:name="to_paragraph_id28853168"/>
      <w:bookmarkEnd w:id="5"/>
      <w:r w:rsidRPr="00284E6E">
        <w:rPr>
          <w:rFonts w:ascii="Verdana" w:eastAsia="Times New Roman" w:hAnsi="Verdana"/>
          <w:b/>
          <w:bCs/>
          <w:color w:val="000000"/>
        </w:rPr>
        <w:t>Чл. 3</w:t>
      </w:r>
      <w:r w:rsidRPr="00284E6E">
        <w:rPr>
          <w:rFonts w:ascii="Verdana" w:eastAsia="Times New Roman" w:hAnsi="Verdana"/>
          <w:color w:val="000000"/>
        </w:rPr>
        <w:t>. (1) Приемането на студенти за обучение по специалността "Ветеринарна медицина" се извършва чрез писмен конкурсен изпит по биология, който се провежда в рамките на кандидатстудентската сесия, или чрез оценката от държавен зрелостен изпит по биология от дипломата за средно образование.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(2) Конкурсните работи се оценяват по шестобалната система.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284E6E" w:rsidRPr="00284E6E" w:rsidTr="00284E6E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</w:tr>
    </w:tbl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bookmarkStart w:id="6" w:name="to_paragraph_id28853169"/>
      <w:bookmarkEnd w:id="6"/>
      <w:r w:rsidRPr="00284E6E">
        <w:rPr>
          <w:rFonts w:ascii="Verdana" w:eastAsia="Times New Roman" w:hAnsi="Verdana"/>
          <w:b/>
          <w:bCs/>
          <w:color w:val="000000"/>
        </w:rPr>
        <w:t>Чл. 4</w:t>
      </w:r>
      <w:r w:rsidRPr="00284E6E">
        <w:rPr>
          <w:rFonts w:ascii="Verdana" w:eastAsia="Times New Roman" w:hAnsi="Verdana"/>
          <w:color w:val="000000"/>
        </w:rPr>
        <w:t>. (1) Обучението включва задължителни, избираеми и факултативни учебни дисциплини.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(2) Задължителните учебни дисциплини и минималният им хорариум са: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5"/>
        <w:gridCol w:w="1845"/>
      </w:tblGrid>
      <w:tr w:rsidR="00284E6E" w:rsidRPr="00284E6E" w:rsidTr="00284E6E">
        <w:trPr>
          <w:tblHeader/>
          <w:tblCellSpacing w:w="0" w:type="dxa"/>
        </w:trPr>
        <w:tc>
          <w:tcPr>
            <w:tcW w:w="8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sz w:val="18"/>
                <w:szCs w:val="18"/>
              </w:rPr>
              <w:t>Дисциплини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Часове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1. Физика с основи на биофизиката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45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2. Медицинска химия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60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3. Зоология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30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4. Медицинска ботаника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30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Биостатистика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30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6. Латински език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45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7. Екология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30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8. Анатомия на домашните животни (включително цитология, хистология и ембриология)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435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9. Физиология на животните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150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10. Биохимия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120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lastRenderedPageBreak/>
              <w:t>11. Генетика и развъждане на животните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75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12. Молекулярна биология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30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13. Животновъдство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90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14. Хранене, агрономия и </w:t>
            </w:r>
            <w:proofErr w:type="spellStart"/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диететика</w:t>
            </w:r>
            <w:proofErr w:type="spellEnd"/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90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15. Ветеринарна хигиена и технологии в животновъдството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60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16. Етология, защита и хуманно отношение към животните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30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17. Токсикология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45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18. Микробиология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120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19. Вирусология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60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20. Имунология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45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21. Патология (обща, функционална и специална)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240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22. Фармакология и фармация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150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23. Акушерство, репродукция и репродуктивни нарушения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120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24. Епидемиология и превантивна ветеринарна медицина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60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25. Паразитология (обща част)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25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26. Инфекциозни болести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60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27. Вътрешни незаразни болести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105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28. Хирургия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90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29. Анестезиология и спешна медицина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30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30. Болести по продуктивните животни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300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31. Болести по животните за компания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160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32. Болести по еднокопитните животни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90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33. Радиология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40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34. Фармакотерапия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20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35. Обществено ветеринарно дело и законодателство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45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36. Съдебна ветеринарна медицина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30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37. Професионална етика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15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38. Пропедевтика с клинична лаборатория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120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39. Икономика на животновъдството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30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40. Хигиена, технология и контрол на храните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210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41. Управление на стадното здраве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20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42. Болести по пчели, риби и дивеч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60 часа</w:t>
            </w:r>
          </w:p>
        </w:tc>
      </w:tr>
      <w:tr w:rsidR="00284E6E" w:rsidRPr="00284E6E" w:rsidTr="00284E6E">
        <w:trPr>
          <w:tblCellSpacing w:w="0" w:type="dxa"/>
        </w:trPr>
        <w:tc>
          <w:tcPr>
            <w:tcW w:w="8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Общо: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84E6E" w:rsidRPr="00284E6E" w:rsidRDefault="00284E6E" w:rsidP="00284E6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color w:val="000000"/>
                <w:sz w:val="18"/>
                <w:szCs w:val="18"/>
              </w:rPr>
              <w:t>3640 часа</w:t>
            </w:r>
          </w:p>
        </w:tc>
      </w:tr>
    </w:tbl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 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 xml:space="preserve">(3) Висшите училища могат да включват в учебния план като задължителни учебни дисциплини и други освен посочените в ал. 2. 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(4) Хорариумът на избираемите учебни дисциплини не може да надхвърля 10 на сто от общата аудиторна заетост по учебен план.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284E6E" w:rsidRPr="00284E6E" w:rsidTr="00284E6E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</w:tr>
    </w:tbl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bookmarkStart w:id="7" w:name="to_paragraph_id28853170"/>
      <w:bookmarkEnd w:id="7"/>
      <w:r w:rsidRPr="00284E6E">
        <w:rPr>
          <w:rFonts w:ascii="Verdana" w:eastAsia="Times New Roman" w:hAnsi="Verdana"/>
          <w:b/>
          <w:bCs/>
          <w:color w:val="000000"/>
        </w:rPr>
        <w:t>Чл. 5</w:t>
      </w:r>
      <w:r w:rsidRPr="00284E6E">
        <w:rPr>
          <w:rFonts w:ascii="Verdana" w:eastAsia="Times New Roman" w:hAnsi="Verdana"/>
          <w:color w:val="000000"/>
        </w:rPr>
        <w:t>. (1) Лекционните курсове по задължителните учебни дисциплини и семестриалните изпити към тях се провеждат от хабилитирани в съответното професионално направление преподаватели.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(2) С решение на академичния съвет до 30 на сто от лекционните курсове и семестриалните изпити към тях по задължителните учебни дисциплини могат да бъдат възлагани на нехабилитирани преподаватели с образователна и научна степен "доктор" или с научна степен "доктор на науките" в съответното професионално направление.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(3) Не по-малко от 70 на сто от хабилитираните преподаватели по задължителните учебни дисциплини са на основен трудов договор във висшето училище.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284E6E" w:rsidRPr="00284E6E" w:rsidTr="00284E6E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</w:tr>
    </w:tbl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bookmarkStart w:id="8" w:name="to_paragraph_id28853171"/>
      <w:bookmarkEnd w:id="8"/>
      <w:r w:rsidRPr="00284E6E">
        <w:rPr>
          <w:rFonts w:ascii="Verdana" w:eastAsia="Times New Roman" w:hAnsi="Verdana"/>
          <w:b/>
          <w:bCs/>
          <w:color w:val="000000"/>
        </w:rPr>
        <w:t>Чл. 6</w:t>
      </w:r>
      <w:r w:rsidRPr="00284E6E">
        <w:rPr>
          <w:rFonts w:ascii="Verdana" w:eastAsia="Times New Roman" w:hAnsi="Verdana"/>
          <w:color w:val="000000"/>
        </w:rPr>
        <w:t>. (1) Обучението включва и практическа подготовка с общ хорариум 700 часа, която се осъществява, както следва: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lastRenderedPageBreak/>
        <w:t xml:space="preserve">1. практика по животновъдство – до седми семестър с продължителност не по-малко от 2 седмици – 60 часа; 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 xml:space="preserve">2. клиничен стаж след осми семестър с продължителност не по-малко от 4 седмици – 160 часа; 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 xml:space="preserve">3. </w:t>
      </w:r>
      <w:proofErr w:type="spellStart"/>
      <w:r w:rsidRPr="00284E6E">
        <w:rPr>
          <w:rFonts w:ascii="Verdana" w:eastAsia="Times New Roman" w:hAnsi="Verdana"/>
          <w:color w:val="000000"/>
        </w:rPr>
        <w:t>преддипломен</w:t>
      </w:r>
      <w:proofErr w:type="spellEnd"/>
      <w:r w:rsidRPr="00284E6E">
        <w:rPr>
          <w:rFonts w:ascii="Verdana" w:eastAsia="Times New Roman" w:hAnsi="Verdana"/>
          <w:color w:val="000000"/>
        </w:rPr>
        <w:t xml:space="preserve"> стаж след приключване на десети семестър – 12 седмици – 480 часа. 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(2) Практическата подготовка на студентите се организира от висшето училище и се провежда в самостоятелно обособени университетски клиники и лаборатории, учебно-опитни стопанства, структурите на Българската агенция по безопасност на храните, в частни ветеринарномедицински клиники и амбулатории и предприятия за добив, преработка, съхранение и търговия със суровини и храни от животински произход и се осигурява чрез сътрудничеството между висшето училище и Българската агенция за безопасност на храните.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284E6E" w:rsidRPr="00284E6E" w:rsidTr="00284E6E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</w:tr>
    </w:tbl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bookmarkStart w:id="9" w:name="to_paragraph_id28853172"/>
      <w:bookmarkEnd w:id="9"/>
      <w:r w:rsidRPr="00284E6E">
        <w:rPr>
          <w:rFonts w:ascii="Verdana" w:eastAsia="Times New Roman" w:hAnsi="Verdana"/>
          <w:b/>
          <w:bCs/>
          <w:color w:val="000000"/>
        </w:rPr>
        <w:t>Чл. 7</w:t>
      </w:r>
      <w:r w:rsidRPr="00284E6E">
        <w:rPr>
          <w:rFonts w:ascii="Verdana" w:eastAsia="Times New Roman" w:hAnsi="Verdana"/>
          <w:color w:val="000000"/>
        </w:rPr>
        <w:t>. (1) Обучението завършва с държавни изпити, които се провеждат в две групи дисциплини: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 xml:space="preserve">1. вътрешни незаразни болести, хирургия, анестезиология и радиология, акушерство, репродукция и репродуктивни нарушения; 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 xml:space="preserve">2. хигиена, технология и контрол на храните, инфекциозни болести и паразитология. 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 xml:space="preserve">(2) Висшите училища могат да включват и други задължителни учебни дисциплини, по които да се полагат държавни изпити. 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 xml:space="preserve">(3) Всеки държавен изпит се полага пред държавна изпитна комисия, включваща най-малко по един хабилитиран преподавател от посочените в ал. 1 дисциплини. В комисията могат да бъдат включени и външни за висшето училище лица. 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(4) Съставът на всяка изпитна комисия се определя със заповед на ректора на висшето училище.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284E6E" w:rsidRPr="00284E6E" w:rsidTr="00284E6E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</w:tr>
    </w:tbl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bookmarkStart w:id="10" w:name="to_paragraph_id28853173"/>
      <w:bookmarkEnd w:id="10"/>
      <w:r w:rsidRPr="00284E6E">
        <w:rPr>
          <w:rFonts w:ascii="Verdana" w:eastAsia="Times New Roman" w:hAnsi="Verdana"/>
          <w:b/>
          <w:bCs/>
          <w:color w:val="000000"/>
        </w:rPr>
        <w:t>Чл. 8</w:t>
      </w:r>
      <w:r w:rsidRPr="00284E6E">
        <w:rPr>
          <w:rFonts w:ascii="Verdana" w:eastAsia="Times New Roman" w:hAnsi="Verdana"/>
          <w:color w:val="000000"/>
        </w:rPr>
        <w:t>. (1) Студентите, изпълнили задълженията си по учебния план, в който са отразени изискванията на наредбата, получават диплома за висше образование на образователно-квалификационната степен "магистър" и професионална квалификация "ветеринарен лекар".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 xml:space="preserve">(2) Лицата, получили диплома за висше образование по специалността "Ветеринарна медицина" и професионална квалификация "ветеринарен лекар", могат да упражняват ветеринарномедицинска професия при условията и по реда на </w:t>
      </w:r>
      <w:hyperlink r:id="rId7" w:history="1">
        <w:r w:rsidRPr="00284E6E">
          <w:rPr>
            <w:rFonts w:ascii="Verdana" w:eastAsia="Times New Roman" w:hAnsi="Verdana"/>
            <w:color w:val="000000"/>
          </w:rPr>
          <w:t>Закона за ветеринарномедицинската дейност</w:t>
        </w:r>
      </w:hyperlink>
      <w:r w:rsidRPr="00284E6E">
        <w:rPr>
          <w:rFonts w:ascii="Verdana" w:eastAsia="Times New Roman" w:hAnsi="Verdana"/>
          <w:color w:val="000000"/>
        </w:rPr>
        <w:t>.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 xml:space="preserve">(3) Прилагането на наредбата гарантира, че завършилият специалист придобива необходимите знания, умения и компетентности по Националната квалификационна рамка и по </w:t>
      </w:r>
      <w:hyperlink r:id="rId8" w:history="1">
        <w:r w:rsidRPr="00284E6E">
          <w:rPr>
            <w:rFonts w:ascii="Verdana" w:eastAsia="Times New Roman" w:hAnsi="Verdana"/>
            <w:color w:val="000000"/>
          </w:rPr>
          <w:t>Директива 2005/36/ЕО</w:t>
        </w:r>
      </w:hyperlink>
      <w:r w:rsidRPr="00284E6E">
        <w:rPr>
          <w:rFonts w:ascii="Verdana" w:eastAsia="Times New Roman" w:hAnsi="Verdana"/>
          <w:color w:val="000000"/>
        </w:rPr>
        <w:t xml:space="preserve"> на Европейския парламент и на Съвета от 7 септември 2005 г. относно признаването на професионалните квалификации (ОВ, L 55, 30.09.2005 г.) и </w:t>
      </w:r>
      <w:hyperlink r:id="rId9" w:history="1">
        <w:r w:rsidRPr="00284E6E">
          <w:rPr>
            <w:rFonts w:ascii="Verdana" w:eastAsia="Times New Roman" w:hAnsi="Verdana"/>
            <w:color w:val="000000"/>
          </w:rPr>
          <w:t>Директива 2013/55/ЕС</w:t>
        </w:r>
      </w:hyperlink>
      <w:r w:rsidRPr="00284E6E">
        <w:rPr>
          <w:rFonts w:ascii="Verdana" w:eastAsia="Times New Roman" w:hAnsi="Verdana"/>
          <w:color w:val="000000"/>
        </w:rPr>
        <w:t xml:space="preserve"> на Европейския парламент и на Съвета от 20 ноември 2013 г. за изменение на </w:t>
      </w:r>
      <w:hyperlink r:id="rId10" w:history="1">
        <w:r w:rsidRPr="00284E6E">
          <w:rPr>
            <w:rFonts w:ascii="Verdana" w:eastAsia="Times New Roman" w:hAnsi="Verdana"/>
            <w:color w:val="000000"/>
          </w:rPr>
          <w:t>Директива 2005/36/ЕО</w:t>
        </w:r>
      </w:hyperlink>
      <w:r w:rsidRPr="00284E6E">
        <w:rPr>
          <w:rFonts w:ascii="Verdana" w:eastAsia="Times New Roman" w:hAnsi="Verdana"/>
          <w:color w:val="000000"/>
        </w:rPr>
        <w:t xml:space="preserve"> относно признаването на професионалните квалификации и на </w:t>
      </w:r>
      <w:hyperlink r:id="rId11" w:history="1">
        <w:r w:rsidRPr="00284E6E">
          <w:rPr>
            <w:rFonts w:ascii="Verdana" w:eastAsia="Times New Roman" w:hAnsi="Verdana"/>
            <w:color w:val="000000"/>
          </w:rPr>
          <w:t>Регламент (ЕС) № 1024/2012</w:t>
        </w:r>
      </w:hyperlink>
      <w:r w:rsidRPr="00284E6E">
        <w:rPr>
          <w:rFonts w:ascii="Verdana" w:eastAsia="Times New Roman" w:hAnsi="Verdana"/>
          <w:color w:val="000000"/>
        </w:rPr>
        <w:t xml:space="preserve"> относно административно сътрудничество посредством Информационната система за вътрешния пазар ("Регламент за ИСВП") (ОВ, L 354, 28.12.2013 г.). 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(4) Чрез обучението по "Ветеринарна медицина" се добиват: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1. знания за: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lastRenderedPageBreak/>
        <w:t>а) анатомия и физиология на здрави животни, тяхното отглеждане, възпроизводство и хигиена;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б) хранене и технологии, свързани с производство на храни за нуждите на животните;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в) поведение и физиологични нужди на животните;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г) обща и специална патология на животните;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2. умения за: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а) установяване причините, характера, развитието, диагностиката и лечението на болестите по животните, включително и безболезнена смърт;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б) диференциране на болестите при животните;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в) оценка на риска относно възможности за предаване на болести от животни на човек;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3. компетентности за: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а) превантивна медицина, свързана с проучвания, анализ и сертифициране;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б) хигиена, технологии и контрол на добиване, производство, съхраняване и реализация на храни от животински произход за човешка консумация, включително способности за разбиране и разясняване на добрите практики в това отношение;</w:t>
      </w:r>
    </w:p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r w:rsidRPr="00284E6E">
        <w:rPr>
          <w:rFonts w:ascii="Verdana" w:eastAsia="Times New Roman" w:hAnsi="Verdana"/>
          <w:color w:val="000000"/>
        </w:rPr>
        <w:t>в) отговорно и разумно използване на ветеринарни лекарствени продукти с цел лечение на животни и гарантиране безопасността на хранителната верига и опазване на околната среда.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284E6E" w:rsidRPr="00284E6E" w:rsidTr="00284E6E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</w:tr>
    </w:tbl>
    <w:p w:rsidR="00284E6E" w:rsidRPr="00284E6E" w:rsidRDefault="00284E6E" w:rsidP="00284E6E">
      <w:pPr>
        <w:spacing w:before="450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</w:rPr>
      </w:pPr>
      <w:bookmarkStart w:id="11" w:name="to_paragraph_id28853174"/>
      <w:bookmarkEnd w:id="11"/>
      <w:r w:rsidRPr="00284E6E">
        <w:rPr>
          <w:rFonts w:ascii="Verdana" w:eastAsia="Times New Roman" w:hAnsi="Verdana"/>
          <w:b/>
          <w:bCs/>
          <w:color w:val="000000"/>
          <w:sz w:val="27"/>
          <w:szCs w:val="27"/>
        </w:rPr>
        <w:t>ДОПЪЛНИТЕЛНА РАЗПОРЕДБА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284E6E" w:rsidRPr="00284E6E" w:rsidTr="00284E6E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</w:tr>
    </w:tbl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bookmarkStart w:id="12" w:name="to_paragraph_id28853175"/>
      <w:bookmarkEnd w:id="12"/>
      <w:r w:rsidRPr="00284E6E">
        <w:rPr>
          <w:rFonts w:ascii="Verdana" w:eastAsia="Times New Roman" w:hAnsi="Verdana"/>
          <w:b/>
          <w:bCs/>
          <w:color w:val="000000"/>
        </w:rPr>
        <w:t>§ 1</w:t>
      </w:r>
      <w:r w:rsidRPr="00284E6E">
        <w:rPr>
          <w:rFonts w:ascii="Verdana" w:eastAsia="Times New Roman" w:hAnsi="Verdana"/>
          <w:color w:val="000000"/>
        </w:rPr>
        <w:t xml:space="preserve">. Наредбата въвежда изискванията на </w:t>
      </w:r>
      <w:hyperlink r:id="rId12" w:history="1">
        <w:r w:rsidRPr="00284E6E">
          <w:rPr>
            <w:rFonts w:ascii="Verdana" w:eastAsia="Times New Roman" w:hAnsi="Verdana"/>
            <w:color w:val="000000"/>
          </w:rPr>
          <w:t>Директива 2005/36/ЕО</w:t>
        </w:r>
      </w:hyperlink>
      <w:r w:rsidRPr="00284E6E">
        <w:rPr>
          <w:rFonts w:ascii="Verdana" w:eastAsia="Times New Roman" w:hAnsi="Verdana"/>
          <w:color w:val="000000"/>
        </w:rPr>
        <w:t xml:space="preserve"> на Европейския парламент и на Съвета от 7 септември 2005 г. относно признаването на професионалните квалификации и транспонира </w:t>
      </w:r>
      <w:hyperlink r:id="rId13" w:history="1">
        <w:r w:rsidRPr="00284E6E">
          <w:rPr>
            <w:rFonts w:ascii="Verdana" w:eastAsia="Times New Roman" w:hAnsi="Verdana"/>
            <w:color w:val="000000"/>
          </w:rPr>
          <w:t>Директива 2013/55/ЕС</w:t>
        </w:r>
      </w:hyperlink>
      <w:r w:rsidRPr="00284E6E">
        <w:rPr>
          <w:rFonts w:ascii="Verdana" w:eastAsia="Times New Roman" w:hAnsi="Verdana"/>
          <w:color w:val="000000"/>
        </w:rPr>
        <w:t xml:space="preserve"> на Европейския парламент и на Съвета от 20 ноември 2013 г. за изменение на </w:t>
      </w:r>
      <w:hyperlink r:id="rId14" w:history="1">
        <w:r w:rsidRPr="00284E6E">
          <w:rPr>
            <w:rFonts w:ascii="Verdana" w:eastAsia="Times New Roman" w:hAnsi="Verdana"/>
            <w:color w:val="000000"/>
          </w:rPr>
          <w:t>Директива 2005/36/ЕО</w:t>
        </w:r>
      </w:hyperlink>
      <w:r w:rsidRPr="00284E6E">
        <w:rPr>
          <w:rFonts w:ascii="Verdana" w:eastAsia="Times New Roman" w:hAnsi="Verdana"/>
          <w:color w:val="000000"/>
        </w:rPr>
        <w:t xml:space="preserve"> относно признаването на професионалните квалификации и на </w:t>
      </w:r>
      <w:hyperlink r:id="rId15" w:history="1">
        <w:r w:rsidRPr="00284E6E">
          <w:rPr>
            <w:rFonts w:ascii="Verdana" w:eastAsia="Times New Roman" w:hAnsi="Verdana"/>
            <w:color w:val="000000"/>
          </w:rPr>
          <w:t>Регламент (ЕС) № 1024/2012</w:t>
        </w:r>
      </w:hyperlink>
      <w:r w:rsidRPr="00284E6E">
        <w:rPr>
          <w:rFonts w:ascii="Verdana" w:eastAsia="Times New Roman" w:hAnsi="Verdana"/>
          <w:color w:val="000000"/>
        </w:rPr>
        <w:t xml:space="preserve"> относно административно сътрудничество посредством Информационната система за вътрешния пазар ("Регламент за ИСВП").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284E6E" w:rsidRPr="00284E6E" w:rsidTr="00284E6E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</w:tr>
    </w:tbl>
    <w:p w:rsidR="00284E6E" w:rsidRPr="00284E6E" w:rsidRDefault="00284E6E" w:rsidP="00284E6E">
      <w:pPr>
        <w:spacing w:before="450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000000"/>
          <w:sz w:val="27"/>
          <w:szCs w:val="27"/>
        </w:rPr>
      </w:pPr>
      <w:bookmarkStart w:id="13" w:name="to_paragraph_id28853176"/>
      <w:bookmarkEnd w:id="13"/>
      <w:r w:rsidRPr="00284E6E">
        <w:rPr>
          <w:rFonts w:ascii="Verdana" w:eastAsia="Times New Roman" w:hAnsi="Verdana"/>
          <w:b/>
          <w:bCs/>
          <w:color w:val="000000"/>
          <w:sz w:val="27"/>
          <w:szCs w:val="27"/>
        </w:rPr>
        <w:t>ПРЕХОДНИ И ЗАКЛЮЧИТЕЛНИ РАЗПОРЕДБИ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284E6E" w:rsidRPr="00284E6E" w:rsidTr="00284E6E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</w:tr>
    </w:tbl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bookmarkStart w:id="14" w:name="to_paragraph_id28853177"/>
      <w:bookmarkEnd w:id="14"/>
      <w:r w:rsidRPr="00284E6E">
        <w:rPr>
          <w:rFonts w:ascii="Verdana" w:eastAsia="Times New Roman" w:hAnsi="Verdana"/>
          <w:b/>
          <w:bCs/>
          <w:color w:val="000000"/>
        </w:rPr>
        <w:t>§ 2</w:t>
      </w:r>
      <w:r w:rsidRPr="00284E6E">
        <w:rPr>
          <w:rFonts w:ascii="Verdana" w:eastAsia="Times New Roman" w:hAnsi="Verdana"/>
          <w:color w:val="000000"/>
        </w:rPr>
        <w:t>. Студентите, които през учебната 2016 – 2017 година са в четвърти, пети и шести курс, продължават обучението си и се дипломират по учебните планове, действащи преди влизането в сила на тази наредба.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284E6E" w:rsidRPr="00284E6E" w:rsidTr="00284E6E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284E6E" w:rsidRPr="00284E6E" w:rsidRDefault="00284E6E" w:rsidP="00284E6E">
            <w:pPr>
              <w:spacing w:after="0" w:line="75" w:lineRule="atLeast"/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</w:pPr>
            <w:r w:rsidRPr="00284E6E">
              <w:rPr>
                <w:rFonts w:ascii="Verdana" w:eastAsia="Times New Roman" w:hAnsi="Verdana"/>
                <w:vanish/>
                <w:color w:val="000000"/>
                <w:sz w:val="18"/>
                <w:szCs w:val="18"/>
              </w:rPr>
              <w:t> </w:t>
            </w:r>
          </w:p>
        </w:tc>
      </w:tr>
    </w:tbl>
    <w:p w:rsidR="00284E6E" w:rsidRPr="00284E6E" w:rsidRDefault="00284E6E" w:rsidP="00284E6E">
      <w:pPr>
        <w:spacing w:after="0" w:line="240" w:lineRule="auto"/>
        <w:ind w:firstLine="990"/>
        <w:jc w:val="both"/>
        <w:rPr>
          <w:rFonts w:ascii="Verdana" w:eastAsia="Times New Roman" w:hAnsi="Verdana"/>
          <w:color w:val="000000"/>
        </w:rPr>
      </w:pPr>
      <w:bookmarkStart w:id="15" w:name="to_paragraph_id28853178"/>
      <w:bookmarkEnd w:id="15"/>
      <w:r w:rsidRPr="00284E6E">
        <w:rPr>
          <w:rFonts w:ascii="Verdana" w:eastAsia="Times New Roman" w:hAnsi="Verdana"/>
          <w:b/>
          <w:bCs/>
          <w:color w:val="000000"/>
        </w:rPr>
        <w:t>§ 3</w:t>
      </w:r>
      <w:r w:rsidRPr="00284E6E">
        <w:rPr>
          <w:rFonts w:ascii="Verdana" w:eastAsia="Times New Roman" w:hAnsi="Verdana"/>
          <w:color w:val="000000"/>
        </w:rPr>
        <w:t xml:space="preserve">. Наредбата се издава на основание </w:t>
      </w:r>
      <w:hyperlink r:id="rId16" w:history="1">
        <w:r w:rsidRPr="00284E6E">
          <w:rPr>
            <w:rFonts w:ascii="Verdana" w:eastAsia="Times New Roman" w:hAnsi="Verdana"/>
            <w:color w:val="000000"/>
          </w:rPr>
          <w:t>чл. 9, ал. 3, т. 5 от Закона за висшето образование</w:t>
        </w:r>
      </w:hyperlink>
      <w:r w:rsidRPr="00284E6E">
        <w:rPr>
          <w:rFonts w:ascii="Verdana" w:eastAsia="Times New Roman" w:hAnsi="Verdana"/>
          <w:color w:val="000000"/>
        </w:rPr>
        <w:t xml:space="preserve"> и влиза в сила от учебната 2016 – 2017 година.</w:t>
      </w:r>
    </w:p>
    <w:p w:rsidR="001B1929" w:rsidRDefault="001B1929"/>
    <w:sectPr w:rsidR="001B1929" w:rsidSect="00284E6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6E"/>
    <w:rsid w:val="001B1929"/>
    <w:rsid w:val="00284E6E"/>
    <w:rsid w:val="00B21441"/>
    <w:rsid w:val="00E36757"/>
    <w:rsid w:val="00E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6321"/>
  <w15:chartTrackingRefBased/>
  <w15:docId w15:val="{258C7462-615C-446A-B91D-287CCC6C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57"/>
    <w:pPr>
      <w:spacing w:after="200" w:line="276" w:lineRule="auto"/>
    </w:pPr>
    <w:rPr>
      <w:sz w:val="24"/>
      <w:szCs w:val="24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284E6E"/>
    <w:pPr>
      <w:spacing w:before="450" w:after="100" w:afterAutospacing="1" w:line="240" w:lineRule="auto"/>
      <w:jc w:val="center"/>
      <w:outlineLvl w:val="2"/>
    </w:pPr>
    <w:rPr>
      <w:rFonts w:eastAsia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757"/>
    <w:rPr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284E6E"/>
    <w:rPr>
      <w:rFonts w:eastAsia="Times New Roman"/>
      <w:b/>
      <w:bCs/>
      <w:color w:val="000000"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84E6E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84E6E"/>
    <w:pPr>
      <w:spacing w:after="0" w:line="240" w:lineRule="auto"/>
      <w:ind w:firstLine="990"/>
      <w:jc w:val="both"/>
    </w:pPr>
    <w:rPr>
      <w:rFonts w:eastAsia="Times New Roman"/>
      <w:color w:val="000000"/>
    </w:rPr>
  </w:style>
  <w:style w:type="paragraph" w:customStyle="1" w:styleId="m">
    <w:name w:val="m"/>
    <w:basedOn w:val="Normal"/>
    <w:rsid w:val="00284E6E"/>
    <w:pPr>
      <w:spacing w:after="0" w:line="240" w:lineRule="auto"/>
      <w:ind w:firstLine="990"/>
      <w:jc w:val="both"/>
    </w:pPr>
    <w:rPr>
      <w:rFonts w:eastAsia="Times New Roman"/>
      <w:color w:val="000000"/>
    </w:rPr>
  </w:style>
  <w:style w:type="paragraph" w:customStyle="1" w:styleId="w1">
    <w:name w:val="w1"/>
    <w:basedOn w:val="Normal"/>
    <w:rsid w:val="00284E6E"/>
    <w:pPr>
      <w:spacing w:after="0" w:line="240" w:lineRule="auto"/>
      <w:jc w:val="both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51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098116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1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5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APEV&amp;CELEX=32005L0036&amp;Type=201" TargetMode="External"/><Relationship Id="rId13" Type="http://schemas.openxmlformats.org/officeDocument/2006/relationships/hyperlink" Target="apis://Base=APEV&amp;CELEX=32013L0055&amp;Type=20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pis://Base=NARH&amp;DocCode=40372&amp;Type=201" TargetMode="External"/><Relationship Id="rId12" Type="http://schemas.openxmlformats.org/officeDocument/2006/relationships/hyperlink" Target="apis://Base=APEV&amp;CELEX=32005L0036&amp;Type=20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apis://Base=NARH&amp;DocCode=4489&amp;ToPar=Art9_Al3_Pt5&amp;Type=201" TargetMode="External"/><Relationship Id="rId1" Type="http://schemas.openxmlformats.org/officeDocument/2006/relationships/styles" Target="styles.xml"/><Relationship Id="rId6" Type="http://schemas.openxmlformats.org/officeDocument/2006/relationships/hyperlink" Target="apis://Base=NARH&amp;DocCode=86939&amp;Type=201" TargetMode="External"/><Relationship Id="rId11" Type="http://schemas.openxmlformats.org/officeDocument/2006/relationships/hyperlink" Target="apis://Base=APEV&amp;CELEX=32012R1024&amp;Type=201" TargetMode="External"/><Relationship Id="rId5" Type="http://schemas.openxmlformats.org/officeDocument/2006/relationships/hyperlink" Target="apis://Base=NARH&amp;DocCode=4489&amp;Type=201" TargetMode="External"/><Relationship Id="rId15" Type="http://schemas.openxmlformats.org/officeDocument/2006/relationships/hyperlink" Target="apis://Base=APEV&amp;CELEX=32012R1024&amp;Type=201" TargetMode="External"/><Relationship Id="rId10" Type="http://schemas.openxmlformats.org/officeDocument/2006/relationships/hyperlink" Target="apis://Base=APEV&amp;CELEX=32005L0036&amp;Type=201" TargetMode="External"/><Relationship Id="rId4" Type="http://schemas.openxmlformats.org/officeDocument/2006/relationships/hyperlink" Target="apis://Base=NARH&amp;DocCode=54960&amp;Type=201" TargetMode="External"/><Relationship Id="rId9" Type="http://schemas.openxmlformats.org/officeDocument/2006/relationships/hyperlink" Target="apis://Base=APEV&amp;CELEX=32013L0055&amp;Type=201" TargetMode="External"/><Relationship Id="rId14" Type="http://schemas.openxmlformats.org/officeDocument/2006/relationships/hyperlink" Target="apis://Base=APEV&amp;CELEX=32005L0036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Boyka Samardzhieva</dc:creator>
  <cp:keywords/>
  <dc:description/>
  <cp:lastModifiedBy>Boyka Samardzhieva</cp:lastModifiedBy>
  <cp:revision>3</cp:revision>
  <dcterms:created xsi:type="dcterms:W3CDTF">2023-05-15T07:03:00Z</dcterms:created>
  <dcterms:modified xsi:type="dcterms:W3CDTF">2023-05-15T09:28:00Z</dcterms:modified>
</cp:coreProperties>
</file>